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7476D">
      <w:pPr>
        <w:spacing w:line="360" w:lineRule="auto"/>
        <w:jc w:val="center"/>
      </w:pPr>
      <w:bookmarkStart w:id="0" w:name="_GoBack"/>
      <w:bookmarkEnd w:id="0"/>
      <w:r>
        <w:rPr>
          <w:sz w:val="28"/>
          <w:szCs w:val="28"/>
        </w:rPr>
        <w:t>МЕТОДИКА ОБРАБОТКИ ДАННЫХ ПОЛНОГЕНОМНОГО СЕКВЕНИРОВАНИЯ</w:t>
      </w:r>
    </w:p>
    <w:p w:rsidR="00000000" w:rsidRDefault="0037476D">
      <w:pPr>
        <w:spacing w:line="360" w:lineRule="auto"/>
        <w:jc w:val="center"/>
        <w:rPr>
          <w:sz w:val="28"/>
          <w:szCs w:val="28"/>
        </w:rPr>
      </w:pPr>
    </w:p>
    <w:p w:rsidR="00000000" w:rsidRDefault="0037476D">
      <w:pPr>
        <w:spacing w:line="360" w:lineRule="auto"/>
        <w:jc w:val="both"/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Метод секвенирования.</w:t>
      </w:r>
    </w:p>
    <w:p w:rsidR="00000000" w:rsidRDefault="0037476D">
      <w:pPr>
        <w:spacing w:line="360" w:lineRule="auto"/>
        <w:jc w:val="both"/>
      </w:pPr>
      <w:r>
        <w:rPr>
          <w:sz w:val="28"/>
          <w:szCs w:val="28"/>
        </w:rPr>
        <w:t>Выделение ДНК осуществляется при помощи методов описанных в статье [</w:t>
      </w:r>
      <w:r>
        <w:rPr>
          <w:color w:val="000000"/>
          <w:sz w:val="28"/>
          <w:szCs w:val="28"/>
        </w:rPr>
        <w:t xml:space="preserve">Tyakht </w:t>
      </w:r>
      <w:r>
        <w:rPr>
          <w:color w:val="000000"/>
          <w:sz w:val="28"/>
          <w:szCs w:val="28"/>
        </w:rPr>
        <w:t>et al., 2013</w:t>
      </w:r>
      <w:r>
        <w:rPr>
          <w:sz w:val="28"/>
          <w:szCs w:val="28"/>
        </w:rPr>
        <w:t>]. Подготовка paired-end библеотек и их баркодирование осуществляется  из 2 мкг тотальн</w:t>
      </w:r>
      <w:r>
        <w:rPr>
          <w:sz w:val="28"/>
          <w:szCs w:val="28"/>
        </w:rPr>
        <w:t>ой ДНК, выделенной из метагеномного образца, согласно рекомендациям производителя с использованием наборов NEBNext DNA Library Prep Master Mix Set for Illumina (New England Biolabs, USA) и NEBNext Multiplex Oligos for Illumina (96 Index Primers) (New Engla</w:t>
      </w:r>
      <w:r>
        <w:rPr>
          <w:sz w:val="28"/>
          <w:szCs w:val="28"/>
        </w:rPr>
        <w:t>nd Biolabs, USA). Метагеномное секвенирование в формате shotgun проводиться на генетическом анализаторе HiSeq 2500 (Illumina, USA) согласно рекомендациям производителя с использованием следующих наборов реагентов: HiSeq Rapid PE Cluster Kit v2, HiSeq Rapid</w:t>
      </w:r>
      <w:r>
        <w:rPr>
          <w:sz w:val="28"/>
          <w:szCs w:val="28"/>
        </w:rPr>
        <w:t xml:space="preserve"> SBS Kit v2 (500 cycles), HiSeq Rapid PE FlowCell v2. Результатом является набор данных — парных ДНК-прочтений длиной 250 нуклеотидов.      </w:t>
      </w:r>
    </w:p>
    <w:p w:rsidR="00000000" w:rsidRDefault="0037476D">
      <w:pPr>
        <w:spacing w:line="360" w:lineRule="auto"/>
        <w:jc w:val="center"/>
        <w:rPr>
          <w:sz w:val="28"/>
          <w:szCs w:val="28"/>
        </w:rPr>
      </w:pPr>
    </w:p>
    <w:p w:rsidR="00000000" w:rsidRDefault="0037476D">
      <w:pPr>
        <w:spacing w:line="360" w:lineRule="auto"/>
        <w:jc w:val="both"/>
      </w:pPr>
      <w:r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Анализ метагеномных данных включает следующие стадии:</w:t>
      </w:r>
    </w:p>
    <w:p w:rsidR="00000000" w:rsidRDefault="0037476D">
      <w:pPr>
        <w:spacing w:line="360" w:lineRule="auto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1. Оценка качества секвенирования </w:t>
      </w:r>
      <w:r>
        <w:rPr>
          <w:sz w:val="28"/>
          <w:szCs w:val="28"/>
        </w:rPr>
        <w:t>проводиться с использ</w:t>
      </w:r>
      <w:r>
        <w:rPr>
          <w:sz w:val="28"/>
          <w:szCs w:val="28"/>
        </w:rPr>
        <w:t xml:space="preserve">ованием программ </w:t>
      </w:r>
      <w:r>
        <w:rPr>
          <w:sz w:val="28"/>
          <w:szCs w:val="28"/>
        </w:rPr>
        <w:t>FastQC [</w:t>
      </w:r>
      <w:bookmarkStart w:id="1" w:name="docs-internal-guid-4e4f4561-d95a-f77c-ff"/>
      <w:bookmarkEnd w:id="1"/>
      <w:r>
        <w:rPr>
          <w:color w:val="00000A"/>
          <w:sz w:val="28"/>
        </w:rPr>
        <w:t>https://www.bioinformatics.babraham.ac.uk/projects/fastqc/</w:t>
      </w:r>
      <w:r>
        <w:rPr>
          <w:sz w:val="28"/>
          <w:szCs w:val="28"/>
        </w:rPr>
        <w:t>] и</w:t>
      </w:r>
      <w:r>
        <w:rPr>
          <w:sz w:val="28"/>
          <w:szCs w:val="28"/>
        </w:rPr>
        <w:t xml:space="preserve"> Trimmomatic </w:t>
      </w:r>
      <w:r>
        <w:rPr>
          <w:sz w:val="28"/>
          <w:szCs w:val="28"/>
        </w:rPr>
        <w:t xml:space="preserve">(http://www.usadellab.org/cms/?page=trimmomatic) </w:t>
      </w:r>
      <w:r>
        <w:rPr>
          <w:sz w:val="28"/>
          <w:szCs w:val="28"/>
        </w:rPr>
        <w:t>[</w:t>
      </w:r>
      <w:bookmarkStart w:id="2" w:name="docs-internal-guid-4e4f4561-d95b-78bf-81"/>
      <w:bookmarkEnd w:id="2"/>
      <w:r>
        <w:rPr>
          <w:color w:val="00000A"/>
          <w:sz w:val="28"/>
        </w:rPr>
        <w:t xml:space="preserve">Bolger </w:t>
      </w:r>
      <w:r>
        <w:rPr>
          <w:color w:val="00000A"/>
          <w:sz w:val="28"/>
        </w:rPr>
        <w:t>et al., 2014</w:t>
      </w:r>
      <w:r>
        <w:rPr>
          <w:sz w:val="28"/>
          <w:szCs w:val="28"/>
        </w:rPr>
        <w:t>]</w:t>
      </w:r>
      <w:r>
        <w:rPr>
          <w:sz w:val="28"/>
          <w:szCs w:val="28"/>
        </w:rPr>
        <w:t xml:space="preserve"> (в дальнейшем возможно использование более новых биоинформатических решений с расширен</w:t>
      </w:r>
      <w:r>
        <w:rPr>
          <w:sz w:val="28"/>
          <w:szCs w:val="28"/>
        </w:rPr>
        <w:t xml:space="preserve">ным функционалом). </w:t>
      </w:r>
    </w:p>
    <w:p w:rsidR="00000000" w:rsidRDefault="0037476D">
      <w:pPr>
        <w:spacing w:line="360" w:lineRule="auto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Таксономическое профилирование </w:t>
      </w:r>
      <w:r>
        <w:rPr>
          <w:sz w:val="28"/>
          <w:szCs w:val="28"/>
        </w:rPr>
        <w:t>осуществляется при помощи MetaPhlan2 (</w:t>
      </w:r>
      <w:r>
        <w:rPr>
          <w:sz w:val="28"/>
          <w:szCs w:val="28"/>
        </w:rPr>
        <w:t>https://bitbucket.org/biobakery/metaphlan2</w:t>
      </w:r>
      <w:r>
        <w:rPr>
          <w:sz w:val="28"/>
          <w:szCs w:val="28"/>
        </w:rPr>
        <w:t>) [</w:t>
      </w:r>
      <w:r>
        <w:rPr>
          <w:color w:val="000000"/>
          <w:sz w:val="28"/>
          <w:szCs w:val="28"/>
        </w:rPr>
        <w:t xml:space="preserve">Truong </w:t>
      </w:r>
      <w:r>
        <w:rPr>
          <w:color w:val="000000"/>
          <w:sz w:val="28"/>
          <w:szCs w:val="28"/>
        </w:rPr>
        <w:t>et al., 2015</w:t>
      </w:r>
      <w:r>
        <w:rPr>
          <w:sz w:val="28"/>
          <w:szCs w:val="28"/>
        </w:rPr>
        <w:t>] или Kraken (</w:t>
      </w:r>
      <w:r>
        <w:rPr>
          <w:sz w:val="28"/>
          <w:szCs w:val="28"/>
        </w:rPr>
        <w:t>https://ccb.jhu.edu/software/kraken/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[</w:t>
      </w:r>
      <w:r>
        <w:rPr>
          <w:color w:val="000000"/>
          <w:sz w:val="28"/>
          <w:szCs w:val="28"/>
        </w:rPr>
        <w:t xml:space="preserve">Wood </w:t>
      </w:r>
      <w:r>
        <w:rPr>
          <w:color w:val="000000"/>
          <w:sz w:val="28"/>
          <w:szCs w:val="28"/>
        </w:rPr>
        <w:t>et al., 2014</w:t>
      </w:r>
      <w:r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000000" w:rsidRDefault="0037476D">
      <w:pPr>
        <w:spacing w:line="360" w:lineRule="auto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>3. Описание функциональ</w:t>
      </w:r>
      <w:r>
        <w:rPr>
          <w:sz w:val="28"/>
          <w:szCs w:val="28"/>
        </w:rPr>
        <w:t xml:space="preserve">ного потенциала </w:t>
      </w:r>
      <w:r>
        <w:rPr>
          <w:sz w:val="28"/>
          <w:szCs w:val="28"/>
        </w:rPr>
        <w:t>проводиться с использованием алгоритма HUMANn2 (</w:t>
      </w:r>
      <w:r>
        <w:rPr>
          <w:sz w:val="28"/>
          <w:szCs w:val="28"/>
        </w:rPr>
        <w:t>https://bitbucket.org/biobakery/humann2/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[</w:t>
      </w:r>
      <w:r>
        <w:rPr>
          <w:color w:val="000000"/>
          <w:sz w:val="28"/>
          <w:szCs w:val="28"/>
        </w:rPr>
        <w:t>Abubucker et al., 2012</w:t>
      </w:r>
      <w:r>
        <w:rPr>
          <w:sz w:val="28"/>
          <w:szCs w:val="28"/>
        </w:rPr>
        <w:t>]</w:t>
      </w:r>
    </w:p>
    <w:p w:rsidR="00000000" w:rsidRDefault="0037476D">
      <w:pPr>
        <w:spacing w:line="360" w:lineRule="auto"/>
        <w:jc w:val="both"/>
        <w:rPr>
          <w:sz w:val="28"/>
          <w:szCs w:val="28"/>
        </w:rPr>
      </w:pPr>
    </w:p>
    <w:p w:rsidR="00000000" w:rsidRDefault="0037476D">
      <w:pPr>
        <w:spacing w:line="360" w:lineRule="auto"/>
        <w:jc w:val="both"/>
      </w:pPr>
      <w:r>
        <w:rPr>
          <w:sz w:val="28"/>
          <w:szCs w:val="28"/>
        </w:rPr>
        <w:lastRenderedPageBreak/>
        <w:t xml:space="preserve">Для решения некоторых других задач могут быть использованы биоинформатические алгоритмы и базы данных, отвечающих специфике </w:t>
      </w:r>
      <w:r>
        <w:rPr>
          <w:sz w:val="28"/>
          <w:szCs w:val="28"/>
        </w:rPr>
        <w:t>исследования/анализа. Например, использование ShortBRED (</w:t>
      </w:r>
      <w:r>
        <w:rPr>
          <w:sz w:val="28"/>
          <w:szCs w:val="28"/>
        </w:rPr>
        <w:t>https://bitbucket.org/biobakery/shortbred</w:t>
      </w:r>
      <w:r>
        <w:rPr>
          <w:sz w:val="28"/>
          <w:szCs w:val="28"/>
        </w:rPr>
        <w:t>) [</w:t>
      </w:r>
      <w:r>
        <w:rPr>
          <w:color w:val="000000"/>
          <w:sz w:val="28"/>
          <w:szCs w:val="28"/>
        </w:rPr>
        <w:t>Kaminski et al., 2015</w:t>
      </w:r>
      <w:r>
        <w:rPr>
          <w:sz w:val="28"/>
          <w:szCs w:val="28"/>
        </w:rPr>
        <w:t>] (или bowtie2 (</w:t>
      </w:r>
      <w:r>
        <w:rPr>
          <w:sz w:val="28"/>
          <w:szCs w:val="28"/>
        </w:rPr>
        <w:t>http://bowtie-bio.sourceforge.net/bowtie2</w:t>
      </w:r>
      <w:r>
        <w:rPr>
          <w:sz w:val="28"/>
          <w:szCs w:val="28"/>
        </w:rPr>
        <w:t>) [</w:t>
      </w:r>
      <w:r>
        <w:rPr>
          <w:color w:val="000000"/>
          <w:sz w:val="28"/>
          <w:szCs w:val="28"/>
        </w:rPr>
        <w:t>Langmead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et al., 2012</w:t>
      </w:r>
      <w:r>
        <w:rPr>
          <w:sz w:val="28"/>
          <w:szCs w:val="28"/>
        </w:rPr>
        <w:t>) и базы данных генов резистентности CARD (</w:t>
      </w:r>
      <w:r>
        <w:rPr>
          <w:sz w:val="28"/>
          <w:szCs w:val="28"/>
        </w:rPr>
        <w:t>https://ca</w:t>
      </w:r>
      <w:r>
        <w:rPr>
          <w:sz w:val="28"/>
          <w:szCs w:val="28"/>
        </w:rPr>
        <w:t>rd.mcmaster.ca/</w:t>
      </w:r>
      <w:r>
        <w:rPr>
          <w:sz w:val="28"/>
          <w:szCs w:val="28"/>
        </w:rPr>
        <w:t>) [</w:t>
      </w:r>
      <w:r>
        <w:rPr>
          <w:color w:val="000000"/>
          <w:sz w:val="28"/>
          <w:szCs w:val="28"/>
        </w:rPr>
        <w:t>Jia et al., 2017</w:t>
      </w:r>
      <w:r>
        <w:rPr>
          <w:sz w:val="28"/>
          <w:szCs w:val="28"/>
        </w:rPr>
        <w:t xml:space="preserve">] для расчета представленностей генов резистентности к антибиотикам в метагеномных образцах. </w:t>
      </w:r>
    </w:p>
    <w:p w:rsidR="00000000" w:rsidRDefault="0037476D">
      <w:pPr>
        <w:spacing w:line="360" w:lineRule="auto"/>
        <w:jc w:val="both"/>
        <w:rPr>
          <w:sz w:val="28"/>
          <w:szCs w:val="28"/>
        </w:rPr>
      </w:pPr>
    </w:p>
    <w:p w:rsidR="00000000" w:rsidRDefault="0037476D">
      <w:pPr>
        <w:spacing w:line="360" w:lineRule="auto"/>
        <w:jc w:val="both"/>
      </w:pPr>
      <w:r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Список использованн</w:t>
      </w:r>
      <w:r>
        <w:rPr>
          <w:b/>
          <w:bCs/>
          <w:sz w:val="28"/>
          <w:szCs w:val="28"/>
        </w:rPr>
        <w:t>ой литературы</w:t>
      </w:r>
    </w:p>
    <w:p w:rsidR="00000000" w:rsidRDefault="0037476D">
      <w:pPr>
        <w:spacing w:line="360" w:lineRule="auto"/>
        <w:jc w:val="both"/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Tyakht</w:t>
      </w:r>
      <w:r>
        <w:rPr>
          <w:color w:val="000000"/>
          <w:sz w:val="28"/>
          <w:szCs w:val="28"/>
        </w:rPr>
        <w:t xml:space="preserve"> A. V. et al. Human gut microbiota community structures in urban and rural populat</w:t>
      </w:r>
      <w:r>
        <w:rPr>
          <w:color w:val="000000"/>
          <w:sz w:val="28"/>
          <w:szCs w:val="28"/>
        </w:rPr>
        <w:t>ions in Russia //Nature communications. – 2013. – Т. 4.</w:t>
      </w:r>
    </w:p>
    <w:p w:rsidR="00000000" w:rsidRDefault="0037476D">
      <w:pPr>
        <w:spacing w:line="360" w:lineRule="auto"/>
        <w:jc w:val="both"/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Bolger A. M., Lohse M., Usadel B. Trimmomatic: a flexible trimmer for Illumina sequence data //Bioinformatics. – 2014. – Т. 30. – №. 15. – С. 2114-2120.</w:t>
      </w:r>
    </w:p>
    <w:p w:rsidR="00000000" w:rsidRDefault="0037476D">
      <w:pPr>
        <w:spacing w:line="360" w:lineRule="auto"/>
        <w:jc w:val="both"/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Truong D. T. et al. MetaPhlAn2 for enhanc</w:t>
      </w:r>
      <w:r>
        <w:rPr>
          <w:color w:val="000000"/>
          <w:sz w:val="28"/>
          <w:szCs w:val="28"/>
        </w:rPr>
        <w:t>ed metagenomic taxonomic profiling //Nature methods. – 2015. – Т. 12. – №. 10. – С. 902-903.</w:t>
      </w:r>
    </w:p>
    <w:p w:rsidR="00000000" w:rsidRDefault="0037476D">
      <w:pPr>
        <w:spacing w:line="360" w:lineRule="auto"/>
        <w:jc w:val="both"/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Wood D. E., Salzberg S. L. Kraken: ultrafast metagenomic sequence classification using exact alignments //Genome biology. – 2014. – Т. 15. – №. 3. – С. R46.</w:t>
      </w:r>
    </w:p>
    <w:p w:rsidR="00000000" w:rsidRDefault="0037476D">
      <w:pPr>
        <w:spacing w:line="360" w:lineRule="auto"/>
        <w:jc w:val="both"/>
      </w:pPr>
      <w:r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Abubucker S. et al. Metabolic reconstruction for metagenomic data and its application to the human microbiome //PLoS computational biology. – 2012. – Т. 8. – №. 6. – С. E1002358.</w:t>
      </w:r>
    </w:p>
    <w:p w:rsidR="00000000" w:rsidRDefault="0037476D">
      <w:pPr>
        <w:spacing w:line="360" w:lineRule="auto"/>
        <w:jc w:val="both"/>
      </w:pPr>
      <w:r>
        <w:rPr>
          <w:color w:val="000000"/>
          <w:sz w:val="28"/>
          <w:szCs w:val="28"/>
        </w:rPr>
        <w:t>6. Kaminski J. et al. High-specificity targeted functional profiling in micro</w:t>
      </w:r>
      <w:r>
        <w:rPr>
          <w:color w:val="000000"/>
          <w:sz w:val="28"/>
          <w:szCs w:val="28"/>
        </w:rPr>
        <w:t>bial communities with ShortBRED //PLoS computational biology. – 2015. – Т. 11. – №. 12. – С. E1004557.</w:t>
      </w:r>
    </w:p>
    <w:p w:rsidR="00000000" w:rsidRDefault="0037476D">
      <w:pPr>
        <w:spacing w:line="360" w:lineRule="auto"/>
        <w:jc w:val="both"/>
      </w:pPr>
      <w:r>
        <w:rPr>
          <w:color w:val="000000"/>
          <w:sz w:val="28"/>
          <w:szCs w:val="28"/>
        </w:rPr>
        <w:t>7. Langmead B., Salzberg S. L. Fast gapped-read alignment with Bowtie 2 //Nature methods. – 2012. – Т. 9. – №. 4. – С. 357-359.</w:t>
      </w:r>
    </w:p>
    <w:p w:rsidR="0037476D" w:rsidRDefault="0037476D">
      <w:pPr>
        <w:spacing w:line="360" w:lineRule="auto"/>
        <w:jc w:val="both"/>
      </w:pPr>
      <w:r>
        <w:rPr>
          <w:color w:val="000000"/>
          <w:sz w:val="28"/>
          <w:szCs w:val="28"/>
        </w:rPr>
        <w:t>8. Jia B. et al. CARD 201</w:t>
      </w:r>
      <w:r>
        <w:rPr>
          <w:color w:val="000000"/>
          <w:sz w:val="28"/>
          <w:szCs w:val="28"/>
        </w:rPr>
        <w:t>7: expansion and model-centric curation of the comprehensive antibiotic resistance database //Nucleic acids research. – 2017. – Т. 45. – №. D1. – С. D566-D573.</w:t>
      </w:r>
    </w:p>
    <w:sectPr w:rsidR="0037476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E"/>
    <w:rsid w:val="0037476D"/>
    <w:rsid w:val="00B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61402C7-5167-4324-8D31-AE3B05A6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bogachev</dc:creator>
  <cp:keywords/>
  <dc:description/>
  <cp:lastModifiedBy>bogachev</cp:lastModifiedBy>
  <cp:revision>2</cp:revision>
  <cp:lastPrinted>1601-01-01T00:00:00Z</cp:lastPrinted>
  <dcterms:created xsi:type="dcterms:W3CDTF">2017-11-20T14:06:00Z</dcterms:created>
  <dcterms:modified xsi:type="dcterms:W3CDTF">2017-11-20T14:06:00Z</dcterms:modified>
</cp:coreProperties>
</file>